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D25" w:rsidRDefault="005B7F17">
      <w:pPr>
        <w:pStyle w:val="Subtitle"/>
        <w:contextualSpacing w:val="0"/>
      </w:pPr>
      <w:bookmarkStart w:id="0" w:name="_dywq94337s8" w:colFirst="0" w:colLast="0"/>
      <w:bookmarkEnd w:id="0"/>
      <w:r>
        <w:t>Yes - Make a Policy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5205"/>
        <w:gridCol w:w="1950"/>
      </w:tblGrid>
      <w:tr w:rsidR="00E82D25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Policy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Explanation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Sample Policies</w:t>
            </w:r>
          </w:p>
        </w:tc>
      </w:tr>
      <w:tr w:rsidR="00E82D25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pPr>
              <w:rPr>
                <w:b/>
              </w:rPr>
            </w:pPr>
            <w:r>
              <w:t xml:space="preserve">Assessment 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pPr>
              <w:rPr>
                <w:b/>
              </w:rPr>
            </w:pPr>
            <w:r>
              <w:t>Differentiate assessment by class, course, program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pPr>
              <w:rPr>
                <w:b/>
              </w:rPr>
            </w:pPr>
            <w:r>
              <w:t>CGCC</w:t>
            </w:r>
          </w:p>
        </w:tc>
      </w:tr>
      <w:tr w:rsidR="00E82D25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pPr>
              <w:rPr>
                <w:b/>
              </w:rPr>
            </w:pPr>
            <w:r>
              <w:t>Awarding posthumous degrees / deceased students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E82D2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pPr>
              <w:rPr>
                <w:b/>
              </w:rPr>
            </w:pPr>
            <w:r>
              <w:t>LCC, COCC</w:t>
            </w:r>
          </w:p>
        </w:tc>
      </w:tr>
      <w:tr w:rsidR="00E82D25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r>
              <w:t xml:space="preserve">Academic dismissal 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pPr>
              <w:rPr>
                <w:b/>
              </w:rPr>
            </w:pPr>
            <w:r>
              <w:t>suspending a student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r>
              <w:t>Academic Standards Policy (Clark)</w:t>
            </w:r>
          </w:p>
        </w:tc>
      </w:tr>
      <w:tr w:rsidR="00E82D25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r>
              <w:t xml:space="preserve">Commencement 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r>
              <w:t>(and graduation honors)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E82D25"/>
        </w:tc>
      </w:tr>
      <w:tr w:rsidR="00E82D25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r>
              <w:t>Service Animals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r>
              <w:t xml:space="preserve">(Christina is working on this right now) Lane has an animals policy which </w:t>
            </w:r>
            <w:proofErr w:type="spellStart"/>
            <w:r>
              <w:t>encompresses</w:t>
            </w:r>
            <w:proofErr w:type="spellEnd"/>
            <w:r>
              <w:t xml:space="preserve"> all animals, e.g., feral Cats that may be on campus. Check CCC Board’s policy for animals on campus.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r>
              <w:t>LCC, OSU</w:t>
            </w:r>
          </w:p>
        </w:tc>
      </w:tr>
      <w:tr w:rsidR="00E82D25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r>
              <w:t>Classroom recordings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proofErr w:type="gramStart"/>
            <w:r>
              <w:t>folded</w:t>
            </w:r>
            <w:proofErr w:type="gramEnd"/>
            <w:r>
              <w:t xml:space="preserve"> into what ISP currently?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r>
              <w:t>SOCC</w:t>
            </w:r>
          </w:p>
        </w:tc>
      </w:tr>
      <w:tr w:rsidR="00E82D25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r>
              <w:t>Student Privacy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r>
              <w:t>SSN, record retention (ARC?)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r>
              <w:t>LBCC, Chemeketa, CGCC</w:t>
            </w:r>
          </w:p>
        </w:tc>
      </w:tr>
      <w:tr w:rsidR="00E82D25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r>
              <w:t>OERs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r>
              <w:t>Our current textbook policy is not robust enough.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E82D25"/>
        </w:tc>
      </w:tr>
      <w:tr w:rsidR="00E82D25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r>
              <w:t>Children on Campus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r>
              <w:t>Esp. unattended children 10+. Include child-friendly areas (e.g., Library)</w:t>
            </w:r>
          </w:p>
          <w:p w:rsidR="00E82D25" w:rsidRDefault="00E82D25"/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r>
              <w:t>SOCC, LBCC, COCC &amp; LCC</w:t>
            </w:r>
          </w:p>
        </w:tc>
      </w:tr>
    </w:tbl>
    <w:p w:rsidR="00E82D25" w:rsidRDefault="00E82D25"/>
    <w:p w:rsidR="00E82D25" w:rsidRDefault="00E82D25"/>
    <w:p w:rsidR="00E82D25" w:rsidRDefault="005B7F17">
      <w:pPr>
        <w:pStyle w:val="Subtitle"/>
        <w:contextualSpacing w:val="0"/>
      </w:pPr>
      <w:bookmarkStart w:id="1" w:name="_dnh7n8ok52oj" w:colFirst="0" w:colLast="0"/>
      <w:bookmarkEnd w:id="1"/>
      <w:r>
        <w:t>Maybe Make a Policy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5205"/>
        <w:gridCol w:w="1935"/>
      </w:tblGrid>
      <w:tr w:rsidR="00E82D25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Policy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Explanation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Sample Policies</w:t>
            </w:r>
          </w:p>
        </w:tc>
      </w:tr>
      <w:tr w:rsidR="00E82D25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r>
              <w:t>Automatic administrative withdrawal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proofErr w:type="gramStart"/>
            <w:r>
              <w:t>for</w:t>
            </w:r>
            <w:proofErr w:type="gramEnd"/>
            <w:r>
              <w:t xml:space="preserve"> non-attendance? Already an ISP…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r>
              <w:t>SOCC, LBCC</w:t>
            </w:r>
          </w:p>
        </w:tc>
      </w:tr>
      <w:tr w:rsidR="00E82D25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r>
              <w:lastRenderedPageBreak/>
              <w:t>Automatic awarding of degrees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r>
              <w:t>without needing students to petition PCC Degree Certificate and Course Overview and Steps to Graduation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E82D25">
            <w:pPr>
              <w:widowControl w:val="0"/>
              <w:spacing w:line="240" w:lineRule="auto"/>
            </w:pPr>
          </w:p>
        </w:tc>
      </w:tr>
      <w:tr w:rsidR="00E82D25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r>
              <w:t xml:space="preserve">Course </w:t>
            </w:r>
            <w:proofErr w:type="spellStart"/>
            <w:r>
              <w:t>Recency</w:t>
            </w:r>
            <w:proofErr w:type="spellEnd"/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r>
              <w:t>for graduation and/or degree counting purposes, e.g., CS, Nursing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E82D25">
            <w:pPr>
              <w:widowControl w:val="0"/>
              <w:spacing w:line="240" w:lineRule="auto"/>
            </w:pPr>
          </w:p>
        </w:tc>
      </w:tr>
      <w:tr w:rsidR="00E82D25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r>
              <w:t xml:space="preserve">Student Membership on </w:t>
            </w:r>
            <w:proofErr w:type="spellStart"/>
            <w:r>
              <w:t>on</w:t>
            </w:r>
            <w:proofErr w:type="spellEnd"/>
            <w:r>
              <w:t xml:space="preserve"> College Committees 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E82D25"/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r>
              <w:t>PCC</w:t>
            </w:r>
          </w:p>
        </w:tc>
      </w:tr>
      <w:tr w:rsidR="00E82D25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r>
              <w:t>Academic Fresh S</w:t>
            </w:r>
            <w:r>
              <w:t>tart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E82D25"/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r>
              <w:t xml:space="preserve"> (PCC)</w:t>
            </w:r>
          </w:p>
        </w:tc>
      </w:tr>
      <w:tr w:rsidR="00E82D25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r>
              <w:t>Records Management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E82D25"/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r>
              <w:t>LCC</w:t>
            </w:r>
          </w:p>
        </w:tc>
      </w:tr>
      <w:tr w:rsidR="00E82D25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r>
              <w:t>Classroom visitors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E82D25"/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r>
              <w:t>LCC, CGCC</w:t>
            </w:r>
          </w:p>
        </w:tc>
      </w:tr>
      <w:tr w:rsidR="00E82D25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r>
              <w:t>Data Management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r>
              <w:t>ARC maybe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r>
              <w:t>OSU</w:t>
            </w:r>
          </w:p>
        </w:tc>
      </w:tr>
      <w:tr w:rsidR="00E82D25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r>
              <w:t xml:space="preserve">Cell phone 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E82D25"/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r>
              <w:t>Clark 315.000 General Academic Regulations and Procedures</w:t>
            </w:r>
          </w:p>
        </w:tc>
      </w:tr>
      <w:tr w:rsidR="00E82D25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proofErr w:type="spellStart"/>
            <w:r>
              <w:t>Bloodborne</w:t>
            </w:r>
            <w:proofErr w:type="spellEnd"/>
            <w:r>
              <w:t xml:space="preserve"> pathogens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r>
              <w:t>ARC?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r>
              <w:t>Clark, OSU</w:t>
            </w:r>
          </w:p>
        </w:tc>
      </w:tr>
      <w:tr w:rsidR="00E82D25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r>
              <w:t>Safe Space policies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r>
              <w:t>All gender restrooms. Mother/nursing spaces. Prayer spaces. Family-friendly spaces. LGBTQIA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E82D25"/>
        </w:tc>
      </w:tr>
      <w:tr w:rsidR="00E82D25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r>
              <w:t>Student Governance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r>
              <w:t xml:space="preserve">clubs, </w:t>
            </w:r>
            <w:proofErr w:type="spellStart"/>
            <w:r>
              <w:t>etc</w:t>
            </w:r>
            <w:proofErr w:type="spellEnd"/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r>
              <w:t>LBCC</w:t>
            </w:r>
          </w:p>
        </w:tc>
      </w:tr>
      <w:tr w:rsidR="00E82D25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r>
              <w:t xml:space="preserve">Library-related 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E82D25"/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D25" w:rsidRDefault="005B7F17">
            <w:r>
              <w:t>Lane, LBCC, SOCC</w:t>
            </w:r>
          </w:p>
        </w:tc>
      </w:tr>
    </w:tbl>
    <w:p w:rsidR="00E82D25" w:rsidRDefault="00E82D25"/>
    <w:p w:rsidR="00E82D25" w:rsidRDefault="005B7F17">
      <w:pPr>
        <w:rPr>
          <w:b/>
        </w:rPr>
      </w:pPr>
      <w:r>
        <w:pict>
          <v:rect id="_x0000_i1025" style="width:0;height:1.5pt" o:hralign="center" o:hrstd="t" o:hr="t" fillcolor="#a0a0a0" stroked="f"/>
        </w:pict>
      </w:r>
    </w:p>
    <w:p w:rsidR="00E82D25" w:rsidRDefault="005B7F17">
      <w:pPr>
        <w:rPr>
          <w:b/>
        </w:rPr>
      </w:pPr>
      <w:r>
        <w:rPr>
          <w:b/>
        </w:rPr>
        <w:t>List of College/University Policy Pages</w:t>
      </w:r>
    </w:p>
    <w:p w:rsidR="00E82D25" w:rsidRDefault="005B7F17">
      <w:pPr>
        <w:numPr>
          <w:ilvl w:val="0"/>
          <w:numId w:val="1"/>
        </w:numPr>
        <w:ind w:hanging="360"/>
        <w:contextualSpacing/>
      </w:pPr>
      <w:r>
        <w:t>PCC</w:t>
      </w:r>
      <w:hyperlink r:id="rId5">
        <w:r>
          <w:rPr>
            <w:color w:val="1155CC"/>
            <w:u w:val="single"/>
          </w:rPr>
          <w:t xml:space="preserve"> http://catalog.pcc.edu/handbook/</w:t>
        </w:r>
      </w:hyperlink>
    </w:p>
    <w:p w:rsidR="00E82D25" w:rsidRDefault="005B7F17">
      <w:pPr>
        <w:numPr>
          <w:ilvl w:val="0"/>
          <w:numId w:val="1"/>
        </w:numPr>
        <w:ind w:hanging="360"/>
        <w:contextualSpacing/>
      </w:pPr>
      <w:r>
        <w:t>LCC</w:t>
      </w:r>
      <w:hyperlink r:id="rId6">
        <w:r>
          <w:rPr>
            <w:color w:val="1155CC"/>
            <w:u w:val="single"/>
          </w:rPr>
          <w:t xml:space="preserve"> https://www.lanecc.edu/copps</w:t>
        </w:r>
      </w:hyperlink>
    </w:p>
    <w:p w:rsidR="00E82D25" w:rsidRDefault="005B7F17">
      <w:pPr>
        <w:numPr>
          <w:ilvl w:val="0"/>
          <w:numId w:val="1"/>
        </w:numPr>
        <w:ind w:hanging="360"/>
        <w:contextualSpacing/>
      </w:pPr>
      <w:r>
        <w:t>COCC</w:t>
      </w:r>
      <w:hyperlink r:id="rId7">
        <w:r>
          <w:rPr>
            <w:color w:val="1155CC"/>
            <w:u w:val="single"/>
          </w:rPr>
          <w:t xml:space="preserve"> https://www.cocc.edu/general-policies-and-procedures/</w:t>
        </w:r>
      </w:hyperlink>
    </w:p>
    <w:p w:rsidR="00E82D25" w:rsidRDefault="005B7F17">
      <w:pPr>
        <w:numPr>
          <w:ilvl w:val="0"/>
          <w:numId w:val="1"/>
        </w:numPr>
        <w:ind w:hanging="360"/>
        <w:contextualSpacing/>
      </w:pPr>
      <w:r>
        <w:t xml:space="preserve">OSU </w:t>
      </w:r>
      <w:hyperlink r:id="rId8">
        <w:r>
          <w:rPr>
            <w:color w:val="1155CC"/>
            <w:u w:val="single"/>
          </w:rPr>
          <w:t>http://fa.oregonstate.edu/gen-manual</w:t>
        </w:r>
      </w:hyperlink>
      <w:r>
        <w:t xml:space="preserve"> and </w:t>
      </w:r>
      <w:hyperlink r:id="rId9">
        <w:r>
          <w:rPr>
            <w:color w:val="1155CC"/>
            <w:u w:val="single"/>
          </w:rPr>
          <w:t>http://seagrant.orst.edu/admi</w:t>
        </w:r>
        <w:r>
          <w:rPr>
            <w:color w:val="1155CC"/>
            <w:u w:val="single"/>
          </w:rPr>
          <w:t>n/aa/apaa/academic-programs/curriculum/curricular-policies-and-procedures-new</w:t>
        </w:r>
      </w:hyperlink>
    </w:p>
    <w:p w:rsidR="00E82D25" w:rsidRDefault="005B7F17">
      <w:pPr>
        <w:numPr>
          <w:ilvl w:val="0"/>
          <w:numId w:val="1"/>
        </w:numPr>
        <w:ind w:hanging="360"/>
        <w:contextualSpacing/>
      </w:pPr>
      <w:r>
        <w:lastRenderedPageBreak/>
        <w:t xml:space="preserve">Clark </w:t>
      </w:r>
      <w:hyperlink r:id="rId10">
        <w:r>
          <w:rPr>
            <w:color w:val="1155CC"/>
            <w:u w:val="single"/>
          </w:rPr>
          <w:t>http://www.clark.edu/about/governance/policies-procedures/index.php</w:t>
        </w:r>
      </w:hyperlink>
    </w:p>
    <w:p w:rsidR="00E82D25" w:rsidRDefault="005B7F17">
      <w:pPr>
        <w:numPr>
          <w:ilvl w:val="0"/>
          <w:numId w:val="1"/>
        </w:numPr>
        <w:ind w:hanging="360"/>
        <w:contextualSpacing/>
      </w:pPr>
      <w:r>
        <w:t>State Fair CC (in</w:t>
      </w:r>
      <w:r>
        <w:t xml:space="preserve"> Missouri!?)</w:t>
      </w:r>
      <w:hyperlink r:id="rId11">
        <w:r>
          <w:rPr>
            <w:color w:val="1155CC"/>
            <w:u w:val="single"/>
          </w:rPr>
          <w:t xml:space="preserve"> https://www.sfccmo.edu/about/policies-regulations/</w:t>
        </w:r>
      </w:hyperlink>
    </w:p>
    <w:p w:rsidR="00E82D25" w:rsidRDefault="005B7F17">
      <w:pPr>
        <w:numPr>
          <w:ilvl w:val="0"/>
          <w:numId w:val="1"/>
        </w:numPr>
        <w:ind w:hanging="360"/>
        <w:contextualSpacing/>
      </w:pPr>
      <w:r>
        <w:t xml:space="preserve">Mount Hood: </w:t>
      </w:r>
      <w:hyperlink r:id="rId12">
        <w:r>
          <w:rPr>
            <w:color w:val="1155CC"/>
            <w:u w:val="single"/>
          </w:rPr>
          <w:t>https://www.mhcc.edu/AdministrativeRegulatio</w:t>
        </w:r>
        <w:r>
          <w:rPr>
            <w:color w:val="1155CC"/>
            <w:u w:val="single"/>
          </w:rPr>
          <w:t>n/</w:t>
        </w:r>
      </w:hyperlink>
    </w:p>
    <w:p w:rsidR="00E82D25" w:rsidRDefault="005B7F17">
      <w:pPr>
        <w:numPr>
          <w:ilvl w:val="0"/>
          <w:numId w:val="1"/>
        </w:numPr>
        <w:ind w:hanging="360"/>
        <w:contextualSpacing/>
      </w:pPr>
      <w:r>
        <w:t xml:space="preserve">SOCC </w:t>
      </w:r>
      <w:hyperlink r:id="rId13">
        <w:r>
          <w:rPr>
            <w:color w:val="1155CC"/>
            <w:u w:val="single"/>
          </w:rPr>
          <w:t>https://mylakerlink.socc.edu/ICS/Administrative_Services/Admin_Policies.jnz</w:t>
        </w:r>
      </w:hyperlink>
      <w:r>
        <w:t xml:space="preserve"> </w:t>
      </w:r>
    </w:p>
    <w:p w:rsidR="00E82D25" w:rsidRDefault="005B7F17">
      <w:pPr>
        <w:numPr>
          <w:ilvl w:val="0"/>
          <w:numId w:val="1"/>
        </w:numPr>
        <w:ind w:hanging="360"/>
        <w:contextualSpacing/>
      </w:pPr>
      <w:r>
        <w:t xml:space="preserve">LBCC </w:t>
      </w:r>
      <w:hyperlink r:id="rId14">
        <w:r>
          <w:rPr>
            <w:color w:val="1155CC"/>
            <w:u w:val="single"/>
          </w:rPr>
          <w:t>https://www.linnbenton.edu/board-policies-and-administrative-rules</w:t>
        </w:r>
      </w:hyperlink>
      <w:r>
        <w:t xml:space="preserve"> </w:t>
      </w:r>
    </w:p>
    <w:p w:rsidR="00E82D25" w:rsidRDefault="005B7F17">
      <w:pPr>
        <w:numPr>
          <w:ilvl w:val="0"/>
          <w:numId w:val="1"/>
        </w:numPr>
        <w:ind w:hanging="360"/>
        <w:contextualSpacing/>
      </w:pPr>
      <w:r>
        <w:t xml:space="preserve">CGCC </w:t>
      </w:r>
      <w:hyperlink r:id="rId15">
        <w:r>
          <w:rPr>
            <w:color w:val="1155CC"/>
            <w:u w:val="single"/>
          </w:rPr>
          <w:t>https://www.cgcc.edu/policies</w:t>
        </w:r>
      </w:hyperlink>
      <w:r>
        <w:t xml:space="preserve"> </w:t>
      </w:r>
    </w:p>
    <w:p w:rsidR="00E82D25" w:rsidRDefault="00E82D25"/>
    <w:p w:rsidR="00E82D25" w:rsidRDefault="005B7F17">
      <w:pPr>
        <w:rPr>
          <w:b/>
        </w:rPr>
      </w:pPr>
      <w:r>
        <w:rPr>
          <w:b/>
        </w:rPr>
        <w:t>Search terms</w:t>
      </w:r>
    </w:p>
    <w:p w:rsidR="00E82D25" w:rsidRDefault="005B7F17">
      <w:proofErr w:type="gramStart"/>
      <w:r>
        <w:t>acade</w:t>
      </w:r>
      <w:r>
        <w:t>mic</w:t>
      </w:r>
      <w:proofErr w:type="gramEnd"/>
      <w:r>
        <w:t xml:space="preserve"> OR instructional</w:t>
      </w:r>
    </w:p>
    <w:p w:rsidR="00E82D25" w:rsidRDefault="005B7F17">
      <w:proofErr w:type="gramStart"/>
      <w:r>
        <w:t>procedures</w:t>
      </w:r>
      <w:proofErr w:type="gramEnd"/>
      <w:r>
        <w:t xml:space="preserve"> OR  standards OR policies</w:t>
      </w:r>
    </w:p>
    <w:p w:rsidR="00E82D25" w:rsidRDefault="005B7F17">
      <w:proofErr w:type="gramStart"/>
      <w:r>
        <w:rPr>
          <w:b/>
        </w:rPr>
        <w:t>site</w:t>
      </w:r>
      <w:proofErr w:type="gramEnd"/>
      <w:r>
        <w:rPr>
          <w:b/>
        </w:rPr>
        <w:t>:.</w:t>
      </w:r>
      <w:proofErr w:type="spellStart"/>
      <w:r>
        <w:rPr>
          <w:b/>
        </w:rPr>
        <w:t>edu</w:t>
      </w:r>
      <w:proofErr w:type="spellEnd"/>
      <w:r>
        <w:t xml:space="preserve"> is a good trick to know about - limits your search to only higher </w:t>
      </w:r>
      <w:proofErr w:type="spellStart"/>
      <w:r>
        <w:t>ed</w:t>
      </w:r>
      <w:proofErr w:type="spellEnd"/>
      <w:r>
        <w:t xml:space="preserve"> websites</w:t>
      </w:r>
    </w:p>
    <w:p w:rsidR="00E82D25" w:rsidRDefault="005B7F17">
      <w:pPr>
        <w:rPr>
          <w:b/>
        </w:rPr>
      </w:pPr>
      <w:r>
        <w:rPr>
          <w:noProof/>
        </w:rPr>
        <w:drawing>
          <wp:inline distT="114300" distB="114300" distL="114300" distR="114300">
            <wp:extent cx="4895850" cy="5143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B7F17" w:rsidRDefault="005B7F17">
      <w:pPr>
        <w:rPr>
          <w:b/>
        </w:rPr>
      </w:pPr>
    </w:p>
    <w:p w:rsidR="005B7F17" w:rsidRDefault="005B7F17">
      <w:pPr>
        <w:rPr>
          <w:b/>
        </w:rPr>
      </w:pPr>
    </w:p>
    <w:p w:rsidR="005B7F17" w:rsidRPr="005B7F17" w:rsidRDefault="005B7F17">
      <w:r w:rsidRPr="005B7F17">
        <w:t xml:space="preserve">Living document: </w:t>
      </w:r>
      <w:hyperlink r:id="rId17" w:history="1">
        <w:r w:rsidRPr="005B7F17">
          <w:rPr>
            <w:rStyle w:val="Hyperlink"/>
          </w:rPr>
          <w:t>https://docs.google.com/document/d/1jA2Skz0sGVWzhDfgaMFfdnwbMotCqOJ7HS0tAHknkFM/edit#</w:t>
        </w:r>
      </w:hyperlink>
      <w:r w:rsidRPr="005B7F17">
        <w:t xml:space="preserve"> </w:t>
      </w:r>
      <w:bookmarkStart w:id="2" w:name="_GoBack"/>
      <w:bookmarkEnd w:id="2"/>
    </w:p>
    <w:sectPr w:rsidR="005B7F17" w:rsidRPr="005B7F1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74CC"/>
    <w:multiLevelType w:val="multilevel"/>
    <w:tmpl w:val="F7AAF26E"/>
    <w:lvl w:ilvl="0">
      <w:start w:val="1"/>
      <w:numFmt w:val="bullet"/>
      <w:lvlText w:val="●"/>
      <w:lvlJc w:val="left"/>
      <w:pPr>
        <w:ind w:left="720" w:firstLine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25"/>
    <w:rsid w:val="005B7F17"/>
    <w:rsid w:val="00E8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CE39AF-C8DD-42F4-B63A-9AC682D0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5B7F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.oregonstate.edu/gen-manual" TargetMode="External"/><Relationship Id="rId13" Type="http://schemas.openxmlformats.org/officeDocument/2006/relationships/hyperlink" Target="https://mylakerlink.socc.edu/ICS/Administrative_Services/Admin_Policies.jn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cc.edu/general-policies-and-procedures/" TargetMode="External"/><Relationship Id="rId12" Type="http://schemas.openxmlformats.org/officeDocument/2006/relationships/hyperlink" Target="https://www.mhcc.edu/AdministrativeRegulation/" TargetMode="External"/><Relationship Id="rId17" Type="http://schemas.openxmlformats.org/officeDocument/2006/relationships/hyperlink" Target="https://docs.google.com/document/d/1jA2Skz0sGVWzhDfgaMFfdnwbMotCqOJ7HS0tAHknkFM/edit#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www.lanecc.edu/copps" TargetMode="External"/><Relationship Id="rId11" Type="http://schemas.openxmlformats.org/officeDocument/2006/relationships/hyperlink" Target="https://www.sfccmo.edu/about/policies-regulations/" TargetMode="External"/><Relationship Id="rId5" Type="http://schemas.openxmlformats.org/officeDocument/2006/relationships/hyperlink" Target="http://catalog.pcc.edu/handbook/" TargetMode="External"/><Relationship Id="rId15" Type="http://schemas.openxmlformats.org/officeDocument/2006/relationships/hyperlink" Target="https://www.cgcc.edu/policies" TargetMode="External"/><Relationship Id="rId10" Type="http://schemas.openxmlformats.org/officeDocument/2006/relationships/hyperlink" Target="http://www.clark.edu/about/governance/policies-procedures/index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eagrant.orst.edu/admin/aa/apaa/academic-programs/curriculum/curricular-policies-and-procedures-new" TargetMode="External"/><Relationship Id="rId14" Type="http://schemas.openxmlformats.org/officeDocument/2006/relationships/hyperlink" Target="https://www.linnbenton.edu/board-policies-and-administrative-ru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Littlefield</dc:creator>
  <cp:lastModifiedBy>Jane Littlefield</cp:lastModifiedBy>
  <cp:revision>2</cp:revision>
  <dcterms:created xsi:type="dcterms:W3CDTF">2017-05-10T18:30:00Z</dcterms:created>
  <dcterms:modified xsi:type="dcterms:W3CDTF">2017-05-10T18:30:00Z</dcterms:modified>
</cp:coreProperties>
</file>